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8E2F" w14:textId="77777777" w:rsidR="0069521A" w:rsidRPr="0069521A" w:rsidRDefault="0069521A" w:rsidP="0069521A">
      <w:pPr>
        <w:snapToGrid w:val="0"/>
        <w:spacing w:after="0" w:line="240" w:lineRule="auto"/>
        <w:contextualSpacing/>
        <w:jc w:val="both"/>
        <w:rPr>
          <w:rFonts w:ascii="Times New Roman" w:eastAsiaTheme="minorEastAsia" w:hAnsi="Times New Roman" w:cs="Times New Roman"/>
          <w:sz w:val="28"/>
          <w:szCs w:val="28"/>
          <w:lang w:eastAsia="ru-RU"/>
        </w:rPr>
      </w:pPr>
      <w:r w:rsidRPr="0069521A">
        <w:rPr>
          <w:rFonts w:ascii="Times New Roman" w:eastAsia="Calibri" w:hAnsi="Times New Roman" w:cs="Times New Roman"/>
          <w:b/>
          <w:color w:val="201F1E"/>
          <w:sz w:val="28"/>
          <w:szCs w:val="28"/>
          <w:shd w:val="clear" w:color="auto" w:fill="FFFFFF"/>
          <w:lang w:val="kk-KZ" w:eastAsia="ru-RU"/>
        </w:rPr>
        <w:t>Практикалық сабақ ПС – 9.</w:t>
      </w:r>
      <w:r w:rsidRPr="0069521A">
        <w:rPr>
          <w:rFonts w:ascii="Times New Roman" w:eastAsia="Calibri" w:hAnsi="Times New Roman" w:cs="Times New Roman"/>
          <w:bCs/>
          <w:color w:val="201F1E"/>
          <w:sz w:val="28"/>
          <w:szCs w:val="28"/>
          <w:shd w:val="clear" w:color="auto" w:fill="FFFFFF"/>
          <w:lang w:val="kk-KZ" w:eastAsia="ru-RU"/>
        </w:rPr>
        <w:t xml:space="preserve"> ҚР</w:t>
      </w:r>
      <w:r w:rsidRPr="0069521A">
        <w:rPr>
          <w:rFonts w:ascii="Times New Roman" w:eastAsia="Calibri" w:hAnsi="Times New Roman" w:cs="Times New Roman"/>
          <w:b/>
          <w:color w:val="201F1E"/>
          <w:sz w:val="28"/>
          <w:szCs w:val="28"/>
          <w:shd w:val="clear" w:color="auto" w:fill="FFFFFF"/>
          <w:lang w:val="kk-KZ" w:eastAsia="ru-RU"/>
        </w:rPr>
        <w:t xml:space="preserve"> </w:t>
      </w:r>
      <w:r w:rsidRPr="0069521A">
        <w:rPr>
          <w:rFonts w:ascii="Times New Roman" w:eastAsiaTheme="minorEastAsia" w:hAnsi="Times New Roman" w:cs="Times New Roman"/>
          <w:sz w:val="28"/>
          <w:szCs w:val="28"/>
          <w:lang w:eastAsia="ru-RU"/>
        </w:rPr>
        <w:t xml:space="preserve"> </w:t>
      </w:r>
      <w:r w:rsidRPr="0069521A">
        <w:rPr>
          <w:rFonts w:ascii="Times New Roman" w:eastAsiaTheme="minorEastAsia" w:hAnsi="Times New Roman" w:cs="Times New Roman"/>
          <w:sz w:val="28"/>
          <w:szCs w:val="28"/>
          <w:lang w:val="kk-KZ" w:eastAsia="ru-RU"/>
        </w:rPr>
        <w:t>мемлекеттік және азаматтық қызметтегі өзгерістерді басқару тәуекелдер жағдайында әзірлеу және тиімді орындалуы</w:t>
      </w:r>
      <w:r w:rsidRPr="0069521A">
        <w:rPr>
          <w:rFonts w:ascii="Times New Roman" w:eastAsia="Calibri" w:hAnsi="Times New Roman" w:cs="Times New Roman"/>
          <w:bCs/>
          <w:sz w:val="28"/>
          <w:szCs w:val="28"/>
          <w:lang w:val="kk-KZ" w:eastAsia="ru-RU"/>
        </w:rPr>
        <w:t xml:space="preserve">           </w:t>
      </w:r>
    </w:p>
    <w:p w14:paraId="36E44989" w14:textId="77777777" w:rsidR="0069521A" w:rsidRPr="0069521A" w:rsidRDefault="0069521A" w:rsidP="0069521A">
      <w:pPr>
        <w:tabs>
          <w:tab w:val="left" w:pos="0"/>
        </w:tabs>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eastAsia="ru-RU"/>
        </w:rPr>
        <w:tab/>
      </w:r>
      <w:r w:rsidRPr="0069521A">
        <w:rPr>
          <w:rFonts w:ascii="Times New Roman" w:eastAsiaTheme="minorEastAsia" w:hAnsi="Times New Roman" w:cs="Times New Roman"/>
          <w:sz w:val="28"/>
          <w:szCs w:val="28"/>
          <w:lang w:val="kk-KZ" w:eastAsia="ru-RU"/>
        </w:rPr>
        <w:t>Сабақтың  мақсаты – Студенттерге</w:t>
      </w:r>
      <w:r w:rsidRPr="0069521A">
        <w:rPr>
          <w:rFonts w:ascii="Times New Roman" w:eastAsia="Calibri" w:hAnsi="Times New Roman" w:cs="Times New Roman"/>
          <w:bCs/>
          <w:color w:val="201F1E"/>
          <w:sz w:val="28"/>
          <w:szCs w:val="28"/>
          <w:shd w:val="clear" w:color="auto" w:fill="FFFFFF"/>
          <w:lang w:val="kk-KZ" w:eastAsia="ru-RU"/>
        </w:rPr>
        <w:t xml:space="preserve"> ҚР</w:t>
      </w:r>
      <w:r w:rsidRPr="0069521A">
        <w:rPr>
          <w:rFonts w:ascii="Times New Roman" w:eastAsia="Calibri" w:hAnsi="Times New Roman" w:cs="Times New Roman"/>
          <w:b/>
          <w:color w:val="201F1E"/>
          <w:sz w:val="28"/>
          <w:szCs w:val="28"/>
          <w:shd w:val="clear" w:color="auto" w:fill="FFFFFF"/>
          <w:lang w:val="kk-KZ" w:eastAsia="ru-RU"/>
        </w:rPr>
        <w:t xml:space="preserve"> </w:t>
      </w:r>
      <w:r w:rsidRPr="0069521A">
        <w:rPr>
          <w:rFonts w:ascii="Times New Roman" w:eastAsiaTheme="minorEastAsia" w:hAnsi="Times New Roman" w:cs="Times New Roman"/>
          <w:sz w:val="28"/>
          <w:szCs w:val="28"/>
          <w:lang w:eastAsia="ru-RU"/>
        </w:rPr>
        <w:t xml:space="preserve"> </w:t>
      </w:r>
      <w:r w:rsidRPr="0069521A">
        <w:rPr>
          <w:rFonts w:ascii="Times New Roman" w:eastAsiaTheme="minorEastAsia" w:hAnsi="Times New Roman" w:cs="Times New Roman"/>
          <w:sz w:val="28"/>
          <w:szCs w:val="28"/>
          <w:lang w:val="kk-KZ" w:eastAsia="ru-RU"/>
        </w:rPr>
        <w:t>мемлекеттік және азаматтық қызметтегі өзгерістерді басқару тәуекелдер жағдайында әзірлеу және тиімді орындалуы</w:t>
      </w:r>
      <w:r w:rsidRPr="0069521A">
        <w:rPr>
          <w:rFonts w:ascii="Times New Roman" w:eastAsia="Calibri" w:hAnsi="Times New Roman" w:cs="Times New Roman"/>
          <w:bCs/>
          <w:sz w:val="28"/>
          <w:szCs w:val="28"/>
          <w:lang w:val="kk-KZ" w:eastAsia="ru-RU"/>
        </w:rPr>
        <w:t xml:space="preserve">           </w:t>
      </w:r>
      <w:r w:rsidRPr="0069521A">
        <w:rPr>
          <w:rFonts w:ascii="Times New Roman" w:eastAsiaTheme="minorEastAsia" w:hAnsi="Times New Roman" w:cs="Times New Roman"/>
          <w:sz w:val="28"/>
          <w:szCs w:val="28"/>
          <w:lang w:val="kk-KZ" w:eastAsia="ru-RU"/>
        </w:rPr>
        <w:t xml:space="preserve"> жан-жақты кешенді </w:t>
      </w:r>
      <w:r w:rsidRPr="0069521A">
        <w:rPr>
          <w:rFonts w:ascii="Times New Roman" w:eastAsiaTheme="minorEastAsia" w:hAnsi="Times New Roman" w:cs="Times New Roman"/>
          <w:bCs/>
          <w:sz w:val="28"/>
          <w:szCs w:val="28"/>
          <w:lang w:val="kk-KZ" w:eastAsia="ru-RU"/>
        </w:rPr>
        <w:t>пікір алмасу</w:t>
      </w:r>
      <w:r w:rsidRPr="0069521A">
        <w:rPr>
          <w:rFonts w:ascii="Times New Roman" w:eastAsiaTheme="minorEastAsia" w:hAnsi="Times New Roman" w:cs="Times New Roman"/>
          <w:sz w:val="28"/>
          <w:szCs w:val="28"/>
          <w:lang w:val="kk-KZ" w:eastAsia="ko-KR"/>
        </w:rPr>
        <w:t xml:space="preserve"> және ой-тұжырымдар жасау</w:t>
      </w:r>
    </w:p>
    <w:p w14:paraId="6EE5E9E7" w14:textId="77777777" w:rsidR="0069521A" w:rsidRPr="0069521A" w:rsidRDefault="0069521A" w:rsidP="0069521A">
      <w:pPr>
        <w:tabs>
          <w:tab w:val="left" w:pos="1380"/>
        </w:tabs>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Сұрақтар:</w:t>
      </w:r>
    </w:p>
    <w:p w14:paraId="054B3AA8" w14:textId="77777777" w:rsidR="0069521A" w:rsidRPr="0069521A" w:rsidRDefault="0069521A" w:rsidP="0069521A">
      <w:pPr>
        <w:numPr>
          <w:ilvl w:val="0"/>
          <w:numId w:val="2"/>
        </w:numPr>
        <w:tabs>
          <w:tab w:val="left" w:pos="1380"/>
        </w:tabs>
        <w:spacing w:after="0" w:line="240" w:lineRule="auto"/>
        <w:ind w:left="0"/>
        <w:contextualSpacing/>
        <w:jc w:val="both"/>
        <w:rPr>
          <w:rFonts w:ascii="Times New Roman" w:hAnsi="Times New Roman" w:cs="Times New Roman"/>
          <w:sz w:val="28"/>
          <w:szCs w:val="28"/>
          <w:lang w:val="kk-KZ"/>
        </w:rPr>
      </w:pPr>
      <w:r w:rsidRPr="0069521A">
        <w:rPr>
          <w:rFonts w:ascii="Times New Roman" w:eastAsia="Calibri" w:hAnsi="Times New Roman" w:cs="Times New Roman"/>
          <w:bCs/>
          <w:color w:val="201F1E"/>
          <w:sz w:val="28"/>
          <w:szCs w:val="28"/>
          <w:shd w:val="clear" w:color="auto" w:fill="FFFFFF"/>
          <w:lang w:val="kk-KZ"/>
        </w:rPr>
        <w:t>ҚР</w:t>
      </w:r>
      <w:r w:rsidRPr="0069521A">
        <w:rPr>
          <w:rFonts w:ascii="Times New Roman" w:eastAsia="Calibri" w:hAnsi="Times New Roman" w:cs="Times New Roman"/>
          <w:b/>
          <w:color w:val="201F1E"/>
          <w:sz w:val="28"/>
          <w:szCs w:val="28"/>
          <w:shd w:val="clear" w:color="auto" w:fill="FFFFFF"/>
          <w:lang w:val="kk-KZ"/>
        </w:rPr>
        <w:t xml:space="preserve"> </w:t>
      </w:r>
      <w:r w:rsidRPr="0069521A">
        <w:rPr>
          <w:rFonts w:ascii="Times New Roman" w:hAnsi="Times New Roman" w:cs="Times New Roman"/>
          <w:sz w:val="28"/>
          <w:szCs w:val="28"/>
          <w:lang w:val="kk-KZ"/>
        </w:rPr>
        <w:t xml:space="preserve"> мемлекеттік және азаматтық қызметтегі өзгерістерді басқару тәуекелдер жағдайында әзірлеу</w:t>
      </w:r>
    </w:p>
    <w:p w14:paraId="3215FCB3" w14:textId="77777777" w:rsidR="0069521A" w:rsidRPr="0069521A" w:rsidRDefault="0069521A" w:rsidP="0069521A">
      <w:pPr>
        <w:numPr>
          <w:ilvl w:val="0"/>
          <w:numId w:val="2"/>
        </w:numPr>
        <w:tabs>
          <w:tab w:val="left" w:pos="1380"/>
        </w:tabs>
        <w:spacing w:after="0" w:line="240" w:lineRule="auto"/>
        <w:ind w:left="0"/>
        <w:contextualSpacing/>
        <w:jc w:val="both"/>
        <w:rPr>
          <w:rFonts w:ascii="Times New Roman" w:hAnsi="Times New Roman" w:cs="Times New Roman"/>
          <w:sz w:val="28"/>
          <w:szCs w:val="28"/>
          <w:lang w:val="kk-KZ"/>
        </w:rPr>
      </w:pPr>
      <w:r w:rsidRPr="0069521A">
        <w:rPr>
          <w:rFonts w:ascii="Times New Roman" w:eastAsia="Calibri" w:hAnsi="Times New Roman" w:cs="Times New Roman"/>
          <w:bCs/>
          <w:sz w:val="28"/>
          <w:szCs w:val="28"/>
          <w:lang w:val="kk-KZ"/>
        </w:rPr>
        <w:t xml:space="preserve">   </w:t>
      </w:r>
      <w:r w:rsidRPr="0069521A">
        <w:rPr>
          <w:rFonts w:ascii="Times New Roman" w:eastAsia="Calibri" w:hAnsi="Times New Roman" w:cs="Times New Roman"/>
          <w:bCs/>
          <w:color w:val="201F1E"/>
          <w:sz w:val="28"/>
          <w:szCs w:val="28"/>
          <w:shd w:val="clear" w:color="auto" w:fill="FFFFFF"/>
          <w:lang w:val="kk-KZ"/>
        </w:rPr>
        <w:t>М</w:t>
      </w:r>
      <w:r w:rsidRPr="0069521A">
        <w:rPr>
          <w:rFonts w:ascii="Times New Roman" w:hAnsi="Times New Roman" w:cs="Times New Roman"/>
          <w:sz w:val="28"/>
          <w:szCs w:val="28"/>
          <w:lang w:val="kk-KZ"/>
        </w:rPr>
        <w:t>емлекеттік және азаматтық қызметтегі өзгерістерді басқару тәуекелдер жағдайында  тиімді орындалуы</w:t>
      </w:r>
      <w:r w:rsidRPr="0069521A">
        <w:rPr>
          <w:rFonts w:ascii="Times New Roman" w:eastAsia="Calibri" w:hAnsi="Times New Roman" w:cs="Times New Roman"/>
          <w:bCs/>
          <w:sz w:val="28"/>
          <w:szCs w:val="28"/>
          <w:lang w:val="kk-KZ"/>
        </w:rPr>
        <w:t xml:space="preserve">                 </w:t>
      </w:r>
    </w:p>
    <w:p w14:paraId="108C2550" w14:textId="77777777" w:rsidR="0069521A" w:rsidRPr="0069521A" w:rsidRDefault="0069521A" w:rsidP="0069521A">
      <w:pPr>
        <w:tabs>
          <w:tab w:val="left" w:pos="960"/>
        </w:tabs>
        <w:spacing w:after="0" w:line="240" w:lineRule="auto"/>
        <w:jc w:val="both"/>
        <w:rPr>
          <w:rFonts w:ascii="Times New Roman" w:eastAsiaTheme="minorEastAsia" w:hAnsi="Times New Roman" w:cs="Times New Roman"/>
          <w:sz w:val="28"/>
          <w:szCs w:val="28"/>
          <w:lang w:val="kk-KZ" w:eastAsia="ru-RU"/>
        </w:rPr>
      </w:pPr>
    </w:p>
    <w:p w14:paraId="6B803012"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Мемлекеттік басқарудың тиімді жүйесін қалыптастыру мақсатында: - мемлекеттік басқару жүйесін дамытудың бірыңғай саясатын қалыптастыруды қамтамасыз ету; - мемлекеттік аппарат қызметінің кәсібилігін және тиімділігін арттыруды қамтамасыз ету; - мемлекеттік органдардың қызметін халыққа сапалы мемлекеттік қызметтер ұсынуға бағдарлау; - мемлекеттік аппарат қызметінің айқындылғы мен ашықтығын қамтамасыз ету қажет. Қызмет көрсету сапасын арттыру үшін заңнамалық негіз жасалды. Қызметтердің тізілімі мен осы тізілімге енгізілген қызмет көрсету стандарттары бекітілді, Халыққа қызмет көрсету орталықтары арқылы қызмет көрсету басталды. Жұртшылықпен кері байланыс орнату үшін көрсетілетін қызмет сапасын бағалау бойынша тұрғындар арасында әлеуметтік сауалнама жүргізу басталды. Әкімшілік кедергілерді азайту үшін Қазақстан Республикасының Үкіметі жеке кәсіпкерлік субъектілеріне қатысты мемлекеттік органдардың рұқсат беру жүйесі мен бақылау-қадағалау қызметін жетілдіру жөнінде шаралар қабылдады. Мемлекеттік органдардың бақылау қызметтерін ретке келтіру үшін тәуекелдерді басқару жүйесінің негізінде тексерудің кезеңділігін белгілеуге мүмкіндік беретін тетік заңды түрде енгізілді. Қазақстан Республикасының мемлекеттік басқару жүйесін жаңғырту тұжырымдамасын іске асыру Қазақстан Республикасындағы мемлекеттік басқару жүйесін жетілдіру саласында қоғамның қажеттіліктерін, жеке және заңды тұлғалардың құқықтарын, бостандықтары мен заңды мүдделерін қанағаттандыру деңгейін арттыруға бағытталған бірыңғай, сындарлы саясат жүргізуді қамтамасыз етуге мүмкіндік береді.</w:t>
      </w:r>
    </w:p>
    <w:p w14:paraId="2FC123B7"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Тәуекелдерді басқару жүйесі</w:t>
      </w:r>
    </w:p>
    <w:p w14:paraId="1F840304"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Тәуекелдерді басқару саясатына негізделген, онда тәуекелдерді басқарудың корпоративтік жүйесінің көрінісі, мақсаттары мен міндеттері көрсетілген, тәуекелдерді басқару процесінің негізгі қағидаттары, тәуекелдерді басқару құрылымы, тәуекелдерді басқару жүйесінің негізгі компоненттері анықталған, сонымен қатар жүйелі түрде қамтамасыз етілген және тәуекелдерді басқару процесін іске асырудың дәйекті тәсілі.</w:t>
      </w:r>
    </w:p>
    <w:p w14:paraId="26747AA2"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Ықтимал тәуекелдерді уақтылы және тиімді басқару және сапалы мониторинг жүргізу мақсатында Тәуекелдерді басқару департаменті Инвестициялар жөніндегі комитетке және Басқармаға, сондай-ақ Аудит және тәуекелдер жөніндегі комитетке және Директорлар кеңесіне тәуекелдер картасының жай-</w:t>
      </w:r>
      <w:r w:rsidRPr="0069521A">
        <w:rPr>
          <w:rFonts w:ascii="Times New Roman" w:eastAsiaTheme="minorEastAsia" w:hAnsi="Times New Roman" w:cs="Times New Roman"/>
          <w:sz w:val="28"/>
          <w:szCs w:val="28"/>
          <w:lang w:val="kk-KZ" w:eastAsia="ru-RU"/>
        </w:rPr>
        <w:lastRenderedPageBreak/>
        <w:t>күйі, негізгі тәуекелдер шараларын орындау және қазынашылық және инвестициялық портфельдердің несиелік тәуекелдерін бағалау туралы жаңартылған есептер ұсынады. тоқсан сайын.</w:t>
      </w:r>
    </w:p>
    <w:p w14:paraId="5D916BF2"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Тәуекелдерді басқару жүйесінің қағидалары:</w:t>
      </w:r>
    </w:p>
    <w:p w14:paraId="2EE70D9D"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Тұтастық- Қоғамның тәуекелдерді басқарудың корпоративтік жүйесі контекстінде Қоғамның жалпы тәуекелінің элементтерін қарастыру</w:t>
      </w:r>
    </w:p>
    <w:p w14:paraId="71020CAF"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Ашықтық-тәуекелдерді басқарудың корпоративтік жүйесін автономды немесе оқшауланған деп қарастыруға тыйым салу</w:t>
      </w:r>
    </w:p>
    <w:p w14:paraId="76AD8ECE"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Құрылымдық-тәуекелдерді басқарудың біріктірілген жүйесі нақты құрылымға ие</w:t>
      </w:r>
    </w:p>
    <w:p w14:paraId="7B4C7124"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Хабардар болу-тәуекелдерді басқару объективті, сенімді және маңызды ақпараттың болуымен бірге жүреді</w:t>
      </w:r>
    </w:p>
    <w:p w14:paraId="3E9D591B"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Үздіксіздік-тәуекелдерді басқару процесі жалғасуда</w:t>
      </w:r>
    </w:p>
    <w:p w14:paraId="3570315C"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Өзектілігі-тәуекелдерді басқару рәсімдері мен тетіктерін үнемі жетілдіру</w:t>
      </w:r>
    </w:p>
    <w:p w14:paraId="2C225404"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Уақтылық пен жеделдік-арлық құрылымдық бөлімшелер, «төменнен жоғары» қағидаты бойынша, оның ішінде Қоғам Басқармасы мен Директорлар кеңесі, тиісті тәуекелдердің өзгерістері, жағдайы және мөлшері, барлық стандартты емес операциялар мен жағдайлар туралы ақпарат беру</w:t>
      </w:r>
    </w:p>
    <w:p w14:paraId="3BFDDCC5"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Атастыру- топ менеджентін тарту, б.а. Басқарма мен Директорлар кеңесі тәуекелдерді басқару және бақылау ортасын құру процесінде</w:t>
      </w:r>
    </w:p>
    <w:p w14:paraId="150B37B4"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Өкілеттіктерді бөлу-қызметкерлердің өкілеттіктерін нақты бөлу және қызметкердің жауапкершілік аймағы мүдделер қақтығысына мүмкіндік беретін жағдайларды болдырмау</w:t>
      </w:r>
    </w:p>
    <w:p w14:paraId="6A64A877"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Тәуелсіздік-Қоғам қызметінің барлық бағыттарындағы тәуекелдерді басқаруды операциялық қызметке тәуелсіз Қоғамның тиісті құрылымдық бөлімшелері жүзеге асыруы керек</w:t>
      </w:r>
    </w:p>
    <w:p w14:paraId="329FC049" w14:textId="77777777" w:rsidR="0069521A" w:rsidRPr="0069521A" w:rsidRDefault="0069521A" w:rsidP="0069521A">
      <w:pPr>
        <w:spacing w:after="0" w:line="240" w:lineRule="auto"/>
        <w:jc w:val="both"/>
        <w:rPr>
          <w:rFonts w:ascii="Times New Roman" w:eastAsiaTheme="minorEastAsia" w:hAnsi="Times New Roman" w:cs="Times New Roman"/>
          <w:sz w:val="28"/>
          <w:szCs w:val="28"/>
          <w:lang w:val="kk-KZ" w:eastAsia="ru-RU"/>
        </w:rPr>
      </w:pPr>
      <w:r w:rsidRPr="0069521A">
        <w:rPr>
          <w:rFonts w:ascii="Times New Roman" w:eastAsiaTheme="minorEastAsia" w:hAnsi="Times New Roman" w:cs="Times New Roman"/>
          <w:sz w:val="28"/>
          <w:szCs w:val="28"/>
          <w:lang w:val="kk-KZ" w:eastAsia="ru-RU"/>
        </w:rPr>
        <w:t>Кезеңділік-тәуекелдерді басқару процесі - бұл оның негізгі компоненттерінің үнемі қайталанатын құрылымдық циклы</w:t>
      </w:r>
    </w:p>
    <w:p w14:paraId="1E11D63D" w14:textId="197BDF19" w:rsidR="00EF6081" w:rsidRPr="0069521A" w:rsidRDefault="00EF6081">
      <w:pPr>
        <w:rPr>
          <w:lang w:val="kk-KZ"/>
        </w:rPr>
      </w:pPr>
    </w:p>
    <w:p w14:paraId="382DECEF" w14:textId="77777777" w:rsidR="00802DFB" w:rsidRPr="00B644B7" w:rsidRDefault="00802DFB" w:rsidP="00802DFB">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54E7544E" w14:textId="77777777" w:rsidR="00B644B7" w:rsidRPr="00B644B7" w:rsidRDefault="00000000" w:rsidP="00802DFB">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499A191D"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7C25324"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34FC4B3E"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DDF6815"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EA8D050"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7D4C4900"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72999130"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0863D8F3"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79869527"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3B14DFD2" w14:textId="77777777" w:rsidR="00802DFB" w:rsidRPr="00B644B7" w:rsidRDefault="00802DFB" w:rsidP="00802DFB">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lastRenderedPageBreak/>
        <w:t>11. Владимир Спивак Управление изменениями.Учебник для академического бакалавриата-М.: Юрайт,  2022-93 с.</w:t>
      </w:r>
    </w:p>
    <w:p w14:paraId="2ADB4F6F" w14:textId="77777777" w:rsidR="00802DFB" w:rsidRPr="00B644B7" w:rsidRDefault="00802DFB" w:rsidP="00802DFB">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3A832E7D"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559B5118" w14:textId="77777777" w:rsidR="00802DFB" w:rsidRPr="00B644B7" w:rsidRDefault="00802DFB" w:rsidP="00802DFB">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4282DDD6"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31852599"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5C0023AA"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0C651CBC"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1E0C01F6"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4DB3ED8B" w14:textId="77777777" w:rsidR="00802DFB" w:rsidRPr="00B644B7" w:rsidRDefault="00802DFB" w:rsidP="00802DF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0AACC9A9"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1C11BE8" w14:textId="77777777" w:rsidR="00802DFB" w:rsidRPr="00B644B7" w:rsidRDefault="00802DFB" w:rsidP="00802DFB">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08586003"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1680691"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ED0BA59"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3889C1B9" w14:textId="77777777" w:rsidR="00802DFB" w:rsidRPr="00B644B7" w:rsidRDefault="00802DFB" w:rsidP="00802DF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7D9A46F" w14:textId="77777777" w:rsidR="00802DFB" w:rsidRPr="00B644B7" w:rsidRDefault="00802DFB" w:rsidP="00802DFB">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13860214" w14:textId="77777777" w:rsidR="00802DFB" w:rsidRPr="00B644B7" w:rsidRDefault="00802DFB" w:rsidP="00802DFB">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70A853F" w14:textId="77777777" w:rsidR="00802DFB" w:rsidRPr="00B644B7" w:rsidRDefault="00802DFB" w:rsidP="00802DFB">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9A67C69" w14:textId="77777777" w:rsidR="00802DFB" w:rsidRPr="00B644B7" w:rsidRDefault="00802DFB" w:rsidP="00802DFB">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52FF764D" w14:textId="77777777" w:rsidR="00802DFB" w:rsidRPr="00B644B7" w:rsidRDefault="00802DFB" w:rsidP="00802DF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2D6A3D9E" w14:textId="77777777" w:rsidR="00802DFB" w:rsidRPr="00B644B7" w:rsidRDefault="00802DFB" w:rsidP="00802DF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CAA17A" w14:textId="77777777" w:rsidR="00802DFB" w:rsidRPr="00B644B7" w:rsidRDefault="00802DFB" w:rsidP="00802DF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BA19F4E" w14:textId="77777777" w:rsidR="00802DFB" w:rsidRPr="00B644B7" w:rsidRDefault="00802DFB" w:rsidP="00802DFB">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02697950" w14:textId="77777777" w:rsidR="00802DFB" w:rsidRPr="00B644B7" w:rsidRDefault="00802DFB" w:rsidP="00802DF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35F9CD9" w14:textId="77777777" w:rsidR="00802DFB" w:rsidRPr="00B644B7" w:rsidRDefault="00802DFB" w:rsidP="00802DFB">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610FFD0" w14:textId="77777777" w:rsidR="00802DFB" w:rsidRPr="00B644B7" w:rsidRDefault="00802DFB" w:rsidP="00802DFB">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753283E9" w14:textId="77777777" w:rsidR="00802DFB" w:rsidRPr="00B644B7" w:rsidRDefault="00802DFB" w:rsidP="00802DFB">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2DFB6813" w14:textId="77777777" w:rsidR="00802DFB" w:rsidRPr="00B644B7" w:rsidRDefault="00802DFB" w:rsidP="00802DFB">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20D46012" w14:textId="77777777" w:rsidR="00802DFB" w:rsidRPr="00B644B7" w:rsidRDefault="00802DFB" w:rsidP="00802DFB">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4FF2FF03" w14:textId="77777777" w:rsidR="00802DFB" w:rsidRPr="00802DFB" w:rsidRDefault="00802DFB" w:rsidP="00802DFB">
      <w:pPr>
        <w:rPr>
          <w:lang w:val="kk-KZ"/>
        </w:rPr>
      </w:pPr>
    </w:p>
    <w:sectPr w:rsidR="00802DFB" w:rsidRPr="00802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049"/>
    <w:multiLevelType w:val="hybridMultilevel"/>
    <w:tmpl w:val="9380FA8A"/>
    <w:lvl w:ilvl="0" w:tplc="AB346AA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42641693">
    <w:abstractNumId w:val="1"/>
  </w:num>
  <w:num w:numId="2" w16cid:durableId="80781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E8"/>
    <w:rsid w:val="005421E8"/>
    <w:rsid w:val="0069521A"/>
    <w:rsid w:val="00802DFB"/>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30010-D6B8-4843-9C91-B301C9A4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DFB"/>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33B0-DCCA-4853-A24D-2DC5E6C0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2022-12-15T15:42:00Z</dcterms:created>
  <dcterms:modified xsi:type="dcterms:W3CDTF">2022-12-16T04:36:00Z</dcterms:modified>
</cp:coreProperties>
</file>